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D0" w:rsidRPr="007F3B9C" w:rsidRDefault="00F27DD0" w:rsidP="00F27DD0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F27DD0" w:rsidRPr="007F3B9C" w:rsidRDefault="00F27DD0" w:rsidP="00F27DD0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F27DD0" w:rsidRPr="007F3B9C" w:rsidRDefault="00F27DD0" w:rsidP="00F27DD0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F27DD0" w:rsidRPr="007F3B9C" w:rsidRDefault="00F27DD0" w:rsidP="00F27DD0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F27DD0" w:rsidRPr="007F3B9C" w:rsidRDefault="00F27DD0" w:rsidP="00F27DD0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F27DD0" w:rsidRPr="007F3B9C" w:rsidRDefault="00F27DD0" w:rsidP="00F27DD0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</w:rPr>
      </w:pPr>
      <w:r w:rsidRPr="007F3B9C">
        <w:rPr>
          <w:rFonts w:ascii="Calibri Light" w:hAnsi="Calibri Light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F27DD0" w:rsidRPr="007F3B9C" w:rsidTr="00FB4AAE">
        <w:trPr>
          <w:trHeight w:val="242"/>
        </w:trPr>
        <w:tc>
          <w:tcPr>
            <w:tcW w:w="1548" w:type="dxa"/>
            <w:shd w:val="clear" w:color="auto" w:fill="auto"/>
          </w:tcPr>
          <w:p w:rsidR="00F27DD0" w:rsidRPr="007F3B9C" w:rsidRDefault="00F27DD0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F27DD0" w:rsidRPr="007F3B9C" w:rsidRDefault="00F27DD0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WeirFoulds LLP</w:t>
            </w:r>
          </w:p>
        </w:tc>
      </w:tr>
    </w:tbl>
    <w:p w:rsidR="00F27DD0" w:rsidRPr="007F3B9C" w:rsidRDefault="00F27DD0" w:rsidP="00F27DD0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F27DD0" w:rsidRPr="007F3B9C" w:rsidRDefault="00F27DD0" w:rsidP="00F27DD0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was changed from Weir &amp; </w:t>
      </w:r>
      <w:proofErr w:type="spellStart"/>
      <w:r w:rsidRPr="007F3B9C">
        <w:rPr>
          <w:rFonts w:ascii="Calibri Light" w:hAnsi="Calibri Light"/>
          <w:spacing w:val="-2"/>
          <w:sz w:val="22"/>
        </w:rPr>
        <w:t>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</w:t>
      </w:r>
      <w:proofErr w:type="spellStart"/>
      <w:r w:rsidRPr="007F3B9C">
        <w:rPr>
          <w:rFonts w:ascii="Calibri Light" w:hAnsi="Calibri Light"/>
          <w:spacing w:val="-2"/>
          <w:sz w:val="22"/>
        </w:rPr>
        <w:t>WeirFoulds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effective </w:t>
      </w:r>
      <w:smartTag w:uri="urn:schemas-microsoft-com:office:smarttags" w:element="date">
        <w:smartTagPr>
          <w:attr w:name="Year" w:val="2001"/>
          <w:attr w:name="Day" w:val="1"/>
          <w:attr w:name="Month" w:val="3"/>
        </w:smartTagPr>
        <w:r w:rsidRPr="007F3B9C">
          <w:rPr>
            <w:rFonts w:ascii="Calibri Light" w:hAnsi="Calibri Light"/>
            <w:spacing w:val="-2"/>
            <w:sz w:val="22"/>
          </w:rPr>
          <w:t>March 1, 2001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merged with Davis, Webb, Schulze &amp; Tinsley on </w:t>
      </w:r>
      <w:smartTag w:uri="urn:schemas-microsoft-com:office:smarttags" w:element="date">
        <w:smartTagPr>
          <w:attr w:name="Year" w:val="1988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1988</w:t>
        </w:r>
      </w:smartTag>
      <w:r w:rsidRPr="007F3B9C">
        <w:rPr>
          <w:rFonts w:ascii="Calibri Light" w:hAnsi="Calibri Light"/>
          <w:spacing w:val="-2"/>
          <w:sz w:val="22"/>
        </w:rPr>
        <w:t xml:space="preserve"> but the merger was dissolved on </w:t>
      </w:r>
      <w:smartTag w:uri="urn:schemas-microsoft-com:office:smarttags" w:element="date">
        <w:smartTagPr>
          <w:attr w:name="Year" w:val="1990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1990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merged with Townsend and Associates on September 30, 2013.</w:t>
      </w: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offices in Toronto and Oakville.</w:t>
      </w: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no association or partnership with any other firms.</w:t>
      </w:r>
    </w:p>
    <w:p w:rsidR="00F27DD0" w:rsidRPr="007F3B9C" w:rsidRDefault="00F27DD0" w:rsidP="00F27DD0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Coverage is also provided to the predecessor firms, namely a) Davis, Webb, Schulze &amp; Tinsley; b) Townsend and Associates; c) Townsend Rogers; and d) Lynda J. Townsend Law Office.  c) and d) are predecessor firms of Townsend and Associates.</w:t>
      </w:r>
    </w:p>
    <w:p w:rsidR="007A46BB" w:rsidRDefault="00F27DD0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D0"/>
    <w:rsid w:val="007C0D8E"/>
    <w:rsid w:val="00BF66B5"/>
    <w:rsid w:val="00F2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9A245-6A13-46DA-A6C5-2E018E34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7DD0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27DD0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F27DD0"/>
    <w:rPr>
      <w:rFonts w:ascii="Times New Roman" w:eastAsia="Times New Roman" w:hAnsi="Times New Roman" w:cs="Times New 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2018-03-05T14:42:00Z</dcterms:created>
  <dcterms:modified xsi:type="dcterms:W3CDTF">2018-03-05T14:42:00Z</dcterms:modified>
</cp:coreProperties>
</file>